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38F1E9">
      <w:pPr>
        <w:keepNext w:val="0"/>
        <w:keepLines w:val="0"/>
        <w:pageBreakBefore w:val="0"/>
        <w:widowControl w:val="0"/>
        <w:kinsoku/>
        <w:wordWrap w:val="0"/>
        <w:overflowPunct/>
        <w:topLinePunct w:val="0"/>
        <w:autoSpaceDE/>
        <w:autoSpaceDN/>
        <w:bidi w:val="0"/>
        <w:adjustRightInd/>
        <w:snapToGrid/>
        <w:spacing w:line="360" w:lineRule="auto"/>
        <w:ind w:firstLine="602" w:firstLineChars="200"/>
        <w:jc w:val="center"/>
        <w:textAlignment w:val="auto"/>
        <w:rPr>
          <w:rFonts w:hint="eastAsia" w:ascii="宋体" w:hAnsi="宋体" w:eastAsia="宋体" w:cs="宋体"/>
          <w:b/>
          <w:bCs/>
          <w:sz w:val="30"/>
          <w:szCs w:val="30"/>
          <w:highlight w:val="none"/>
          <w:lang w:eastAsia="zh-CN"/>
        </w:rPr>
      </w:pPr>
      <w:r>
        <w:rPr>
          <w:rFonts w:hint="eastAsia" w:ascii="宋体" w:hAnsi="宋体" w:eastAsia="宋体" w:cs="宋体"/>
          <w:b/>
          <w:bCs/>
          <w:sz w:val="30"/>
          <w:szCs w:val="30"/>
          <w:highlight w:val="none"/>
          <w:lang w:eastAsia="zh-CN"/>
        </w:rPr>
        <w:t>河南中医药大学校园方责任险、校园方责任险附加校园方</w:t>
      </w:r>
    </w:p>
    <w:p w14:paraId="2D045E42">
      <w:pPr>
        <w:keepNext w:val="0"/>
        <w:keepLines w:val="0"/>
        <w:pageBreakBefore w:val="0"/>
        <w:widowControl w:val="0"/>
        <w:kinsoku/>
        <w:wordWrap w:val="0"/>
        <w:overflowPunct/>
        <w:topLinePunct w:val="0"/>
        <w:autoSpaceDE/>
        <w:autoSpaceDN/>
        <w:bidi w:val="0"/>
        <w:adjustRightInd/>
        <w:snapToGrid/>
        <w:spacing w:line="360" w:lineRule="auto"/>
        <w:ind w:firstLine="602" w:firstLineChars="200"/>
        <w:jc w:val="center"/>
        <w:textAlignment w:val="auto"/>
        <w:rPr>
          <w:rFonts w:hint="eastAsia" w:ascii="宋体" w:hAnsi="宋体" w:eastAsia="宋体" w:cs="宋体"/>
          <w:b/>
          <w:bCs/>
          <w:sz w:val="30"/>
          <w:szCs w:val="30"/>
          <w:highlight w:val="none"/>
        </w:rPr>
      </w:pPr>
      <w:r>
        <w:rPr>
          <w:rFonts w:hint="eastAsia" w:ascii="宋体" w:hAnsi="宋体" w:eastAsia="宋体" w:cs="宋体"/>
          <w:b/>
          <w:bCs/>
          <w:sz w:val="30"/>
          <w:szCs w:val="30"/>
          <w:highlight w:val="none"/>
          <w:lang w:eastAsia="zh-CN"/>
        </w:rPr>
        <w:t>无过失责任险项目</w:t>
      </w:r>
      <w:r>
        <w:rPr>
          <w:rFonts w:hint="eastAsia" w:ascii="宋体" w:hAnsi="宋体" w:cs="宋体"/>
          <w:b/>
          <w:bCs/>
          <w:sz w:val="30"/>
          <w:szCs w:val="30"/>
          <w:highlight w:val="none"/>
          <w:lang w:eastAsia="zh-CN"/>
        </w:rPr>
        <w:t>竞争性谈判公告</w:t>
      </w:r>
    </w:p>
    <w:p w14:paraId="2F8207CF">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一、项目基本情况 </w:t>
      </w:r>
    </w:p>
    <w:p w14:paraId="3711CB4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1.</w:t>
      </w:r>
      <w:r>
        <w:rPr>
          <w:rFonts w:hint="eastAsia" w:ascii="宋体" w:hAnsi="宋体" w:eastAsia="宋体" w:cs="宋体"/>
          <w:sz w:val="21"/>
          <w:szCs w:val="21"/>
          <w:highlight w:val="none"/>
        </w:rPr>
        <w:t>项目编号：河中医竞谈-2026-04</w:t>
      </w:r>
      <w:r>
        <w:rPr>
          <w:rFonts w:hint="eastAsia" w:ascii="宋体" w:hAnsi="宋体" w:eastAsia="宋体" w:cs="宋体"/>
          <w:color w:val="FF0000"/>
          <w:sz w:val="21"/>
          <w:szCs w:val="21"/>
          <w:highlight w:val="none"/>
        </w:rPr>
        <w:t xml:space="preserve"> </w:t>
      </w:r>
    </w:p>
    <w:p w14:paraId="71301AF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2.</w:t>
      </w:r>
      <w:r>
        <w:rPr>
          <w:rFonts w:hint="eastAsia" w:ascii="宋体" w:hAnsi="宋体" w:eastAsia="宋体" w:cs="宋体"/>
          <w:sz w:val="21"/>
          <w:szCs w:val="21"/>
          <w:highlight w:val="none"/>
        </w:rPr>
        <w:t>项目名称：</w:t>
      </w:r>
      <w:r>
        <w:rPr>
          <w:rFonts w:hint="eastAsia" w:ascii="宋体" w:hAnsi="宋体" w:eastAsia="宋体" w:cs="宋体"/>
          <w:sz w:val="21"/>
          <w:szCs w:val="21"/>
          <w:highlight w:val="none"/>
          <w:lang w:eastAsia="zh-CN"/>
        </w:rPr>
        <w:t>河南中医药大学校园方责任险、校园方责任险附加校园方无过失责任险项目</w:t>
      </w:r>
      <w:r>
        <w:rPr>
          <w:rFonts w:hint="eastAsia" w:ascii="宋体" w:hAnsi="宋体" w:eastAsia="宋体" w:cs="宋体"/>
          <w:sz w:val="21"/>
          <w:szCs w:val="21"/>
          <w:highlight w:val="none"/>
        </w:rPr>
        <w:t xml:space="preserve"> </w:t>
      </w:r>
    </w:p>
    <w:p w14:paraId="2A695FA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3.</w:t>
      </w:r>
      <w:r>
        <w:rPr>
          <w:rFonts w:hint="eastAsia" w:ascii="宋体" w:hAnsi="宋体" w:eastAsia="宋体" w:cs="宋体"/>
          <w:sz w:val="21"/>
          <w:szCs w:val="21"/>
          <w:highlight w:val="none"/>
        </w:rPr>
        <w:t>采购方式：</w:t>
      </w:r>
      <w:r>
        <w:rPr>
          <w:rFonts w:hint="eastAsia" w:ascii="宋体" w:hAnsi="宋体" w:eastAsia="宋体" w:cs="宋体"/>
          <w:sz w:val="21"/>
          <w:szCs w:val="21"/>
          <w:highlight w:val="none"/>
          <w:lang w:val="en-US" w:eastAsia="zh-CN"/>
        </w:rPr>
        <w:t>竞争性谈判</w:t>
      </w:r>
      <w:r>
        <w:rPr>
          <w:rFonts w:hint="eastAsia" w:ascii="宋体" w:hAnsi="宋体" w:eastAsia="宋体" w:cs="宋体"/>
          <w:sz w:val="21"/>
          <w:szCs w:val="21"/>
          <w:highlight w:val="none"/>
        </w:rPr>
        <w:t xml:space="preserve"> </w:t>
      </w:r>
    </w:p>
    <w:p w14:paraId="48B5655C">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4.</w:t>
      </w:r>
      <w:r>
        <w:rPr>
          <w:rFonts w:hint="eastAsia" w:ascii="宋体" w:hAnsi="宋体" w:eastAsia="宋体" w:cs="宋体"/>
          <w:sz w:val="21"/>
          <w:szCs w:val="21"/>
          <w:highlight w:val="none"/>
        </w:rPr>
        <w:t>预算金额：</w:t>
      </w:r>
      <w:r>
        <w:rPr>
          <w:rFonts w:hint="eastAsia" w:ascii="宋体" w:hAnsi="宋体" w:eastAsia="宋体" w:cs="宋体"/>
          <w:sz w:val="21"/>
          <w:szCs w:val="21"/>
          <w:highlight w:val="none"/>
          <w:lang w:val="en-US" w:eastAsia="zh-CN"/>
        </w:rPr>
        <w:t>640000.00</w:t>
      </w:r>
      <w:r>
        <w:rPr>
          <w:rFonts w:hint="eastAsia" w:ascii="宋体" w:hAnsi="宋体" w:eastAsia="宋体" w:cs="宋体"/>
          <w:sz w:val="21"/>
          <w:szCs w:val="21"/>
          <w:highlight w:val="none"/>
        </w:rPr>
        <w:t>元</w:t>
      </w:r>
      <w:r>
        <w:rPr>
          <w:rFonts w:hint="eastAsia" w:ascii="宋体" w:hAnsi="宋体" w:eastAsia="宋体" w:cs="宋体"/>
          <w:color w:val="FF0000"/>
          <w:sz w:val="21"/>
          <w:szCs w:val="21"/>
          <w:highlight w:val="none"/>
          <w:lang w:val="en-US" w:eastAsia="zh-CN"/>
        </w:rPr>
        <w:t xml:space="preserve">  </w:t>
      </w:r>
      <w:r>
        <w:rPr>
          <w:rFonts w:hint="eastAsia" w:ascii="宋体" w:hAnsi="宋体" w:eastAsia="宋体" w:cs="宋体"/>
          <w:color w:val="FF0000"/>
          <w:sz w:val="21"/>
          <w:szCs w:val="21"/>
          <w:highlight w:val="none"/>
        </w:rPr>
        <w:t xml:space="preserve"> </w:t>
      </w:r>
    </w:p>
    <w:p w14:paraId="24364F96">
      <w:pPr>
        <w:keepNext w:val="0"/>
        <w:keepLines w:val="0"/>
        <w:pageBreakBefore w:val="0"/>
        <w:widowControl w:val="0"/>
        <w:kinsoku/>
        <w:wordWrap w:val="0"/>
        <w:overflowPunct/>
        <w:topLinePunct w:val="0"/>
        <w:autoSpaceDE/>
        <w:autoSpaceDN/>
        <w:bidi w:val="0"/>
        <w:adjustRightInd/>
        <w:snapToGrid/>
        <w:spacing w:line="360" w:lineRule="auto"/>
        <w:ind w:firstLine="630" w:firstLineChars="3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最高限价：</w:t>
      </w:r>
      <w:r>
        <w:rPr>
          <w:rFonts w:hint="eastAsia" w:ascii="宋体" w:hAnsi="宋体" w:eastAsia="宋体" w:cs="宋体"/>
          <w:sz w:val="21"/>
          <w:szCs w:val="21"/>
          <w:highlight w:val="none"/>
          <w:lang w:val="en-US" w:eastAsia="zh-CN"/>
        </w:rPr>
        <w:t>640000.00</w:t>
      </w:r>
      <w:r>
        <w:rPr>
          <w:rFonts w:hint="eastAsia" w:ascii="宋体" w:hAnsi="宋体" w:eastAsia="宋体" w:cs="宋体"/>
          <w:sz w:val="21"/>
          <w:szCs w:val="21"/>
          <w:highlight w:val="none"/>
        </w:rPr>
        <w:t>元</w:t>
      </w:r>
      <w:r>
        <w:rPr>
          <w:rFonts w:hint="eastAsia" w:ascii="宋体" w:hAnsi="宋体" w:eastAsia="宋体" w:cs="宋体"/>
          <w:sz w:val="21"/>
          <w:szCs w:val="21"/>
          <w:highlight w:val="none"/>
          <w:lang w:val="en-US" w:eastAsia="zh-CN"/>
        </w:rPr>
        <w:t xml:space="preserve"> </w:t>
      </w:r>
      <w:r>
        <w:rPr>
          <w:rFonts w:hint="eastAsia" w:ascii="宋体" w:hAnsi="宋体" w:eastAsia="宋体" w:cs="宋体"/>
          <w:sz w:val="21"/>
          <w:szCs w:val="21"/>
          <w:highlight w:val="none"/>
        </w:rPr>
        <w:t xml:space="preserve">  </w:t>
      </w:r>
    </w:p>
    <w:tbl>
      <w:tblPr>
        <w:tblStyle w:val="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52"/>
        <w:gridCol w:w="783"/>
        <w:gridCol w:w="3532"/>
        <w:gridCol w:w="1468"/>
        <w:gridCol w:w="1608"/>
      </w:tblGrid>
      <w:tr w14:paraId="36FEC0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jc w:val="center"/>
        </w:trPr>
        <w:tc>
          <w:tcPr>
            <w:tcW w:w="652" w:type="dxa"/>
            <w:noWrap w:val="0"/>
            <w:vAlign w:val="center"/>
          </w:tcPr>
          <w:p w14:paraId="3CBCD5C1">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序号</w:t>
            </w:r>
          </w:p>
        </w:tc>
        <w:tc>
          <w:tcPr>
            <w:tcW w:w="783" w:type="dxa"/>
            <w:noWrap w:val="0"/>
            <w:vAlign w:val="center"/>
          </w:tcPr>
          <w:p w14:paraId="2AE8D130">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包号</w:t>
            </w:r>
          </w:p>
        </w:tc>
        <w:tc>
          <w:tcPr>
            <w:tcW w:w="3532" w:type="dxa"/>
            <w:noWrap w:val="0"/>
            <w:vAlign w:val="center"/>
          </w:tcPr>
          <w:p w14:paraId="5EE75F8E">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包名称</w:t>
            </w:r>
          </w:p>
        </w:tc>
        <w:tc>
          <w:tcPr>
            <w:tcW w:w="1468" w:type="dxa"/>
            <w:noWrap w:val="0"/>
            <w:vAlign w:val="center"/>
          </w:tcPr>
          <w:p w14:paraId="0E52608C">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包预算</w:t>
            </w:r>
          </w:p>
          <w:p w14:paraId="700E3A84">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（元）</w:t>
            </w:r>
          </w:p>
        </w:tc>
        <w:tc>
          <w:tcPr>
            <w:tcW w:w="1608" w:type="dxa"/>
            <w:noWrap w:val="0"/>
            <w:vAlign w:val="center"/>
          </w:tcPr>
          <w:p w14:paraId="5228B60D">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包最高限价（元）</w:t>
            </w:r>
          </w:p>
        </w:tc>
      </w:tr>
      <w:tr w14:paraId="748248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652" w:type="dxa"/>
            <w:noWrap w:val="0"/>
            <w:vAlign w:val="center"/>
          </w:tcPr>
          <w:p w14:paraId="5B63BEBD">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1</w:t>
            </w:r>
          </w:p>
        </w:tc>
        <w:tc>
          <w:tcPr>
            <w:tcW w:w="783" w:type="dxa"/>
            <w:noWrap w:val="0"/>
            <w:vAlign w:val="center"/>
          </w:tcPr>
          <w:p w14:paraId="47018CE0">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1</w:t>
            </w:r>
          </w:p>
        </w:tc>
        <w:tc>
          <w:tcPr>
            <w:tcW w:w="3532" w:type="dxa"/>
            <w:noWrap w:val="0"/>
            <w:vAlign w:val="center"/>
          </w:tcPr>
          <w:p w14:paraId="4033F573">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vertAlign w:val="baseline"/>
                <w:lang w:val="en-US" w:eastAsia="zh-CN"/>
              </w:rPr>
              <w:t>河南中医药大学校园方责任险、校园方责任险附加校园方无过失责任险项目</w:t>
            </w:r>
          </w:p>
        </w:tc>
        <w:tc>
          <w:tcPr>
            <w:tcW w:w="1468" w:type="dxa"/>
            <w:noWrap w:val="0"/>
            <w:vAlign w:val="center"/>
          </w:tcPr>
          <w:p w14:paraId="65B49958">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640000.00</w:t>
            </w:r>
          </w:p>
        </w:tc>
        <w:tc>
          <w:tcPr>
            <w:tcW w:w="1608" w:type="dxa"/>
            <w:noWrap w:val="0"/>
            <w:vAlign w:val="center"/>
          </w:tcPr>
          <w:p w14:paraId="4BC8E5A2">
            <w:pPr>
              <w:keepNext w:val="0"/>
              <w:keepLines w:val="0"/>
              <w:pageBreakBefore w:val="0"/>
              <w:widowControl w:val="0"/>
              <w:kinsoku/>
              <w:wordWrap w:val="0"/>
              <w:overflowPunct/>
              <w:topLinePunct w:val="0"/>
              <w:autoSpaceDE/>
              <w:autoSpaceDN/>
              <w:bidi w:val="0"/>
              <w:adjustRightInd/>
              <w:snapToGrid/>
              <w:spacing w:line="360" w:lineRule="auto"/>
              <w:jc w:val="center"/>
              <w:textAlignment w:val="auto"/>
              <w:rPr>
                <w:rFonts w:hint="eastAsia" w:ascii="宋体" w:hAnsi="宋体" w:eastAsia="宋体" w:cs="宋体"/>
                <w:sz w:val="21"/>
                <w:szCs w:val="21"/>
                <w:highlight w:val="none"/>
                <w:vertAlign w:val="baseline"/>
                <w:lang w:val="en-US" w:eastAsia="zh-CN"/>
              </w:rPr>
            </w:pPr>
            <w:r>
              <w:rPr>
                <w:rFonts w:hint="eastAsia" w:ascii="宋体" w:hAnsi="宋体" w:eastAsia="宋体" w:cs="宋体"/>
                <w:sz w:val="21"/>
                <w:szCs w:val="21"/>
                <w:highlight w:val="none"/>
                <w:lang w:val="en-US" w:eastAsia="zh-CN"/>
              </w:rPr>
              <w:t>640000.00</w:t>
            </w:r>
          </w:p>
        </w:tc>
      </w:tr>
    </w:tbl>
    <w:p w14:paraId="23D4D1C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5.</w:t>
      </w:r>
      <w:r>
        <w:rPr>
          <w:rFonts w:hint="eastAsia" w:ascii="宋体" w:hAnsi="宋体" w:eastAsia="宋体" w:cs="宋体"/>
          <w:sz w:val="21"/>
          <w:szCs w:val="21"/>
          <w:highlight w:val="none"/>
        </w:rPr>
        <w:t>采购需求</w:t>
      </w:r>
    </w:p>
    <w:p w14:paraId="2DB7E22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5.1采购内容：</w:t>
      </w:r>
      <w:r>
        <w:rPr>
          <w:rFonts w:hint="eastAsia" w:ascii="宋体" w:hAnsi="宋体" w:eastAsia="宋体" w:cs="宋体"/>
          <w:color w:val="auto"/>
          <w:sz w:val="21"/>
          <w:szCs w:val="21"/>
          <w:lang w:val="en-US" w:eastAsia="zh-CN"/>
        </w:rPr>
        <w:t>河南中医药大学校园方责任险、校园方责任险附加校园方无过失责任险及本项目全部约定附加险种（具体内容详见竞争性谈判文件）。</w:t>
      </w:r>
    </w:p>
    <w:p w14:paraId="400BB751">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5.2</w:t>
      </w:r>
      <w:r>
        <w:rPr>
          <w:rFonts w:hint="eastAsia" w:ascii="宋体" w:hAnsi="宋体" w:eastAsia="宋体" w:cs="宋体"/>
          <w:sz w:val="21"/>
          <w:szCs w:val="21"/>
          <w:highlight w:val="none"/>
          <w:lang w:eastAsia="zh-CN"/>
        </w:rPr>
        <w:t>服务期限</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2027年01月01日-2029年12月31日</w:t>
      </w:r>
      <w:r>
        <w:rPr>
          <w:rFonts w:hint="eastAsia" w:ascii="宋体" w:hAnsi="宋体" w:eastAsia="宋体" w:cs="宋体"/>
          <w:sz w:val="21"/>
          <w:szCs w:val="21"/>
          <w:highlight w:val="none"/>
          <w:lang w:eastAsia="zh-CN"/>
        </w:rPr>
        <w:t>。</w:t>
      </w:r>
    </w:p>
    <w:p w14:paraId="7994532A">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rPr>
        <w:t>5.3</w:t>
      </w:r>
      <w:r>
        <w:rPr>
          <w:rFonts w:hint="eastAsia" w:ascii="宋体" w:hAnsi="宋体" w:eastAsia="宋体" w:cs="宋体"/>
          <w:sz w:val="21"/>
          <w:szCs w:val="21"/>
          <w:highlight w:val="none"/>
          <w:lang w:eastAsia="zh-CN"/>
        </w:rPr>
        <w:t>服务</w:t>
      </w:r>
      <w:r>
        <w:rPr>
          <w:rFonts w:hint="eastAsia" w:ascii="宋体" w:hAnsi="宋体" w:eastAsia="宋体" w:cs="宋体"/>
          <w:sz w:val="21"/>
          <w:szCs w:val="21"/>
          <w:highlight w:val="none"/>
        </w:rPr>
        <w:t>地点：</w:t>
      </w:r>
      <w:r>
        <w:rPr>
          <w:rFonts w:hint="eastAsia" w:ascii="宋体" w:hAnsi="宋体" w:eastAsia="宋体" w:cs="宋体"/>
          <w:sz w:val="21"/>
          <w:szCs w:val="21"/>
          <w:highlight w:val="none"/>
          <w:lang w:val="en-US" w:eastAsia="zh-CN"/>
        </w:rPr>
        <w:t>河南中医药大学</w:t>
      </w:r>
      <w:r>
        <w:rPr>
          <w:rFonts w:hint="eastAsia" w:ascii="宋体" w:hAnsi="宋体" w:eastAsia="宋体" w:cs="宋体"/>
          <w:sz w:val="21"/>
          <w:szCs w:val="21"/>
          <w:highlight w:val="none"/>
          <w:lang w:eastAsia="zh-CN"/>
        </w:rPr>
        <w:t>。</w:t>
      </w:r>
    </w:p>
    <w:p w14:paraId="467B032C">
      <w:pPr>
        <w:widowControl/>
        <w:adjustRightInd w:val="0"/>
        <w:snapToGrid w:val="0"/>
        <w:spacing w:line="360" w:lineRule="auto"/>
        <w:ind w:firstLine="404" w:firstLineChars="200"/>
        <w:jc w:val="left"/>
        <w:rPr>
          <w:rFonts w:hint="eastAsia" w:ascii="宋体" w:hAnsi="宋体" w:eastAsia="宋体" w:cs="宋体"/>
          <w:color w:val="auto"/>
          <w:sz w:val="21"/>
          <w:szCs w:val="21"/>
          <w:lang w:val="en-US" w:eastAsia="zh-CN"/>
        </w:rPr>
      </w:pPr>
      <w:r>
        <w:rPr>
          <w:rFonts w:hint="eastAsia" w:ascii="宋体" w:hAnsi="宋体" w:eastAsia="宋体" w:cs="宋体"/>
          <w:spacing w:val="-4"/>
          <w:kern w:val="0"/>
          <w:sz w:val="21"/>
          <w:szCs w:val="21"/>
          <w:highlight w:val="none"/>
        </w:rPr>
        <w:t>5.</w:t>
      </w:r>
      <w:r>
        <w:rPr>
          <w:rFonts w:hint="eastAsia" w:ascii="宋体" w:hAnsi="宋体" w:eastAsia="宋体" w:cs="宋体"/>
          <w:spacing w:val="-4"/>
          <w:kern w:val="0"/>
          <w:sz w:val="21"/>
          <w:szCs w:val="21"/>
          <w:highlight w:val="none"/>
          <w:lang w:val="en-US" w:eastAsia="zh-CN"/>
        </w:rPr>
        <w:t>4</w:t>
      </w:r>
      <w:r>
        <w:rPr>
          <w:rFonts w:hint="eastAsia" w:ascii="宋体" w:hAnsi="宋体" w:eastAsia="宋体" w:cs="宋体"/>
          <w:color w:val="auto"/>
          <w:sz w:val="21"/>
          <w:szCs w:val="21"/>
          <w:lang w:val="en-US" w:eastAsia="zh-CN"/>
        </w:rPr>
        <w:t>质量要求：</w:t>
      </w:r>
      <w:r>
        <w:rPr>
          <w:rFonts w:hint="eastAsia" w:ascii="宋体" w:hAnsi="宋体" w:eastAsia="宋体" w:cs="宋体"/>
          <w:sz w:val="21"/>
          <w:szCs w:val="21"/>
        </w:rPr>
        <w:t>合格，符合国家相关验收规范</w:t>
      </w:r>
      <w:r>
        <w:rPr>
          <w:rFonts w:hint="eastAsia" w:ascii="宋体" w:hAnsi="宋体" w:eastAsia="宋体" w:cs="宋体"/>
          <w:sz w:val="21"/>
          <w:szCs w:val="21"/>
          <w:lang w:eastAsia="zh-CN"/>
        </w:rPr>
        <w:t>、</w:t>
      </w:r>
      <w:r>
        <w:rPr>
          <w:rFonts w:hint="eastAsia" w:ascii="宋体" w:hAnsi="宋体" w:eastAsia="宋体" w:cs="宋体"/>
          <w:sz w:val="21"/>
          <w:szCs w:val="21"/>
        </w:rPr>
        <w:t>标准</w:t>
      </w:r>
      <w:r>
        <w:rPr>
          <w:rFonts w:hint="eastAsia" w:ascii="宋体" w:hAnsi="宋体" w:eastAsia="宋体" w:cs="宋体"/>
          <w:color w:val="auto"/>
          <w:sz w:val="21"/>
          <w:szCs w:val="21"/>
          <w:lang w:val="en-US" w:eastAsia="zh-CN"/>
        </w:rPr>
        <w:t>。</w:t>
      </w:r>
    </w:p>
    <w:p w14:paraId="02C852DA">
      <w:pPr>
        <w:widowControl/>
        <w:adjustRightInd w:val="0"/>
        <w:snapToGrid w:val="0"/>
        <w:spacing w:line="360" w:lineRule="auto"/>
        <w:ind w:firstLine="420" w:firstLineChars="200"/>
        <w:jc w:val="left"/>
        <w:rPr>
          <w:rFonts w:hint="default"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5.5验收标准：满足采购人要求。</w:t>
      </w:r>
    </w:p>
    <w:p w14:paraId="7DA23A9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6.</w:t>
      </w:r>
      <w:r>
        <w:rPr>
          <w:rFonts w:hint="eastAsia" w:ascii="宋体" w:hAnsi="宋体" w:eastAsia="宋体" w:cs="宋体"/>
          <w:sz w:val="21"/>
          <w:szCs w:val="21"/>
          <w:highlight w:val="none"/>
        </w:rPr>
        <w:t>合同履行期限：</w:t>
      </w:r>
      <w:r>
        <w:rPr>
          <w:rFonts w:hint="eastAsia" w:ascii="宋体" w:hAnsi="宋体" w:eastAsia="宋体" w:cs="宋体"/>
          <w:sz w:val="21"/>
          <w:szCs w:val="21"/>
          <w:highlight w:val="none"/>
          <w:lang w:val="en-US" w:eastAsia="zh-CN"/>
        </w:rPr>
        <w:t>2027年01月01日-2029年12月31日</w:t>
      </w:r>
      <w:r>
        <w:rPr>
          <w:rFonts w:hint="eastAsia" w:ascii="宋体" w:hAnsi="宋体" w:eastAsia="宋体" w:cs="宋体"/>
          <w:sz w:val="21"/>
          <w:szCs w:val="21"/>
          <w:highlight w:val="none"/>
          <w:lang w:eastAsia="zh-CN"/>
        </w:rPr>
        <w:t>。</w:t>
      </w:r>
      <w:r>
        <w:rPr>
          <w:rFonts w:hint="eastAsia" w:ascii="宋体" w:hAnsi="宋体" w:eastAsia="宋体" w:cs="宋体"/>
          <w:sz w:val="21"/>
          <w:szCs w:val="21"/>
          <w:highlight w:val="none"/>
        </w:rPr>
        <w:t xml:space="preserve"> </w:t>
      </w:r>
    </w:p>
    <w:p w14:paraId="25946224">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lang w:val="en-US" w:eastAsia="zh-CN"/>
        </w:rPr>
      </w:pPr>
      <w:r>
        <w:rPr>
          <w:rFonts w:hint="eastAsia" w:ascii="宋体" w:hAnsi="宋体" w:eastAsia="宋体" w:cs="宋体"/>
          <w:sz w:val="21"/>
          <w:szCs w:val="21"/>
          <w:highlight w:val="none"/>
          <w:lang w:val="en-US" w:eastAsia="zh-CN"/>
        </w:rPr>
        <w:t>7.</w:t>
      </w:r>
      <w:r>
        <w:rPr>
          <w:rFonts w:hint="eastAsia" w:ascii="宋体" w:hAnsi="宋体" w:eastAsia="宋体" w:cs="宋体"/>
          <w:sz w:val="21"/>
          <w:szCs w:val="21"/>
          <w:highlight w:val="none"/>
        </w:rPr>
        <w:t>本项目是否接受联合体</w:t>
      </w:r>
      <w:r>
        <w:rPr>
          <w:rFonts w:hint="eastAsia" w:ascii="宋体" w:hAnsi="宋体" w:eastAsia="宋体" w:cs="宋体"/>
          <w:sz w:val="21"/>
          <w:szCs w:val="21"/>
          <w:highlight w:val="none"/>
          <w:lang w:val="en-US" w:eastAsia="zh-CN"/>
        </w:rPr>
        <w:t>参与</w:t>
      </w:r>
      <w:r>
        <w:rPr>
          <w:rFonts w:hint="eastAsia" w:ascii="宋体" w:hAnsi="宋体" w:eastAsia="宋体" w:cs="宋体"/>
          <w:sz w:val="21"/>
          <w:szCs w:val="21"/>
          <w:highlight w:val="none"/>
        </w:rPr>
        <w:t>：</w:t>
      </w:r>
      <w:r>
        <w:rPr>
          <w:rFonts w:hint="eastAsia" w:ascii="宋体" w:hAnsi="宋体" w:eastAsia="宋体" w:cs="宋体"/>
          <w:sz w:val="21"/>
          <w:szCs w:val="21"/>
          <w:highlight w:val="none"/>
          <w:lang w:val="en-US" w:eastAsia="zh-CN"/>
        </w:rPr>
        <w:t>否</w:t>
      </w:r>
    </w:p>
    <w:p w14:paraId="6A110D5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lang w:val="en-US" w:eastAsia="zh-CN"/>
        </w:rPr>
        <w:t xml:space="preserve">8.是否为只面向中小企业采购：否 </w:t>
      </w:r>
      <w:r>
        <w:rPr>
          <w:rFonts w:hint="eastAsia" w:ascii="宋体" w:hAnsi="宋体" w:eastAsia="宋体" w:cs="宋体"/>
          <w:sz w:val="21"/>
          <w:szCs w:val="21"/>
          <w:highlight w:val="none"/>
        </w:rPr>
        <w:t xml:space="preserve"> </w:t>
      </w:r>
    </w:p>
    <w:p w14:paraId="550590AB">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二、申请人资格要求： </w:t>
      </w:r>
    </w:p>
    <w:p w14:paraId="6DD86B10">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 xml:space="preserve">满足《中华人民共和国政府采购法》第二十二条规定； </w:t>
      </w:r>
    </w:p>
    <w:p w14:paraId="076CA975">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落实政府采购政策满足的资格要求：本项目属于非专门面向中小企业采购，执行节约能源、保护环境、扶持不发达地区和少数民族地区、促进中小企业发展等政府采购政策</w:t>
      </w:r>
      <w:r>
        <w:rPr>
          <w:rFonts w:hint="eastAsia" w:ascii="宋体" w:hAnsi="宋体" w:eastAsia="宋体" w:cs="宋体"/>
          <w:sz w:val="21"/>
          <w:szCs w:val="21"/>
          <w:highlight w:val="none"/>
          <w:lang w:val="en-US" w:eastAsia="zh-CN"/>
        </w:rPr>
        <w:t>。</w:t>
      </w:r>
    </w:p>
    <w:p w14:paraId="143EAD7F">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3</w:t>
      </w:r>
      <w:r>
        <w:rPr>
          <w:rFonts w:hint="eastAsia" w:ascii="宋体" w:hAnsi="宋体" w:eastAsia="宋体" w:cs="宋体"/>
          <w:sz w:val="21"/>
          <w:szCs w:val="21"/>
          <w:highlight w:val="none"/>
          <w:lang w:val="en-US" w:eastAsia="zh-CN"/>
        </w:rPr>
        <w:t>.</w:t>
      </w:r>
      <w:r>
        <w:rPr>
          <w:rFonts w:hint="eastAsia" w:ascii="宋体" w:hAnsi="宋体" w:eastAsia="宋体" w:cs="宋体"/>
          <w:sz w:val="21"/>
          <w:szCs w:val="21"/>
          <w:highlight w:val="none"/>
        </w:rPr>
        <w:t xml:space="preserve">本项目的特定资格要求 </w:t>
      </w:r>
    </w:p>
    <w:p w14:paraId="02A4B71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3.1具有独立承担民事责任的能力；（供应商必须具有有效的营业执照或者其他同等效力的证明文件，如分公司参加投标的，须提供所供服务的总公司针对此次采购项目的唯一合法有效授权书，总公司及其分支机构不得同时参与本项目）。</w:t>
      </w:r>
    </w:p>
    <w:p w14:paraId="246504CA">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3.2具有良好的商业信誉和健全的财务会计制度；（供应商需提供2025年度会计师事务所出具的财务审计报告或银行出具的资信证明）；</w:t>
      </w:r>
    </w:p>
    <w:p w14:paraId="26D35200">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3.3具有履行合同所必需的设备和专业技术能力；（供应商需提供承诺书，加盖单位公章，格式自拟）；</w:t>
      </w:r>
    </w:p>
    <w:p w14:paraId="2291F41E">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3.4有依法缴纳税收和社会保障资金的良好记录；（提供2026年1月1日以来任意一个月缴纳税收和社保的证明材料，属于国家免税政策支持不需要缴纳或达不到起征点的应当提供证明材料）；</w:t>
      </w:r>
    </w:p>
    <w:p w14:paraId="1C49EFC5">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3.5参加政府采购活动前三年内，在经营活动中没有重大违法记录；（供应商须作出承诺，加盖单位公章，格式自拟）；</w:t>
      </w:r>
    </w:p>
    <w:p w14:paraId="5C14FD0F">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3.6供应商须具有中国银行保险监督管理委员会核发的有效《经营保险业务许可证》，且许可的业务范围包含责任保险业务；具有经保险监督管理部门备案的校方责任保险条款和费率，提供承诺。</w:t>
      </w:r>
    </w:p>
    <w:p w14:paraId="1CC02D86">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3.7根据《关于在政府采购活动中查询及使用信用记录有关问题的通知》(财库[2016]125号)的规定，对列入失信被执行人、重大税收违法失信主体、政府采购严重违法失信行为记录名单的投标供应商，拒绝参与本项目政府采购活动；（信用信息查询及截止时间：响应文件递交截止时间后，由采购代理机构查询供应商信用记录并将网页、内容进行截图打印，以作证据存档）；查询渠道：“中国执行信息公开网”网站（http://zxgk.court.gov.cn/）、“信用中国”网站（http://www.creditchina.gov.cn/）、中国政府采购网（www.ccgp.gov.cn）。</w:t>
      </w:r>
      <w:bookmarkStart w:id="0" w:name="_GoBack"/>
      <w:bookmarkEnd w:id="0"/>
    </w:p>
    <w:p w14:paraId="0922ECD8">
      <w:pPr>
        <w:spacing w:line="360" w:lineRule="auto"/>
        <w:ind w:firstLine="420" w:firstLineChars="200"/>
        <w:rPr>
          <w:rFonts w:hint="eastAsia" w:ascii="宋体" w:hAnsi="宋体" w:eastAsia="宋体" w:cs="宋体"/>
          <w:color w:val="auto"/>
          <w:sz w:val="21"/>
          <w:szCs w:val="21"/>
        </w:rPr>
      </w:pPr>
      <w:r>
        <w:rPr>
          <w:rFonts w:hint="eastAsia" w:ascii="宋体" w:hAnsi="宋体" w:eastAsia="宋体" w:cs="宋体"/>
          <w:color w:val="auto"/>
          <w:sz w:val="21"/>
          <w:szCs w:val="21"/>
          <w:lang w:val="en-US" w:eastAsia="zh-CN"/>
        </w:rPr>
        <w:t>3.8单位负责人为同一人或者存在直接控股、管理关系的不同供应商，不得同时参加同一合同项下的投标(针对此项做出书面承诺并加盖公章）。</w:t>
      </w:r>
    </w:p>
    <w:p w14:paraId="1115540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三、获取采购文件 </w:t>
      </w:r>
    </w:p>
    <w:p w14:paraId="0A79F60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sz w:val="21"/>
          <w:szCs w:val="21"/>
          <w:highlight w:val="none"/>
        </w:rPr>
        <w:t>1.时间：</w:t>
      </w:r>
      <w:r>
        <w:rPr>
          <w:rFonts w:hint="eastAsia" w:ascii="宋体" w:hAnsi="宋体" w:eastAsia="宋体" w:cs="宋体"/>
          <w:color w:val="auto"/>
          <w:sz w:val="21"/>
          <w:szCs w:val="21"/>
          <w:highlight w:val="none"/>
        </w:rPr>
        <w:t>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日至202</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lang w:val="en-US" w:eastAsia="zh-CN"/>
        </w:rPr>
        <w:t>9</w:t>
      </w:r>
      <w:r>
        <w:rPr>
          <w:rFonts w:hint="eastAsia" w:ascii="宋体" w:hAnsi="宋体" w:eastAsia="宋体" w:cs="宋体"/>
          <w:color w:val="auto"/>
          <w:sz w:val="21"/>
          <w:szCs w:val="21"/>
          <w:highlight w:val="none"/>
        </w:rPr>
        <w:t>日，每天上午 8时30分至11时30分，下午14时30分至17时00分（北京时间，法定节假日除外。）</w:t>
      </w:r>
    </w:p>
    <w:p w14:paraId="50A2B574">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2.地点：以电子邮件方式进行获取。</w:t>
      </w:r>
    </w:p>
    <w:p w14:paraId="12001932">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方式：凡有意参加的供应商，须提供（1）营业执照或同等效力证明文件；（2）法定代表人授权委托书（须注明委托代理人的联系方式）及委托代理人身份证复印件；（3）文件费银行转账凭证。以上资料加盖公章的扫描件整理成一个PDF发送至</w:t>
      </w:r>
      <w:r>
        <w:rPr>
          <w:rFonts w:hint="eastAsia" w:ascii="宋体" w:hAnsi="宋体" w:eastAsia="宋体" w:cs="宋体"/>
          <w:color w:val="auto"/>
          <w:sz w:val="21"/>
          <w:szCs w:val="21"/>
          <w:highlight w:val="none"/>
          <w:lang w:val="en-US" w:eastAsia="zh-CN"/>
        </w:rPr>
        <w:t>hnxc1606@126.com</w:t>
      </w:r>
      <w:r>
        <w:rPr>
          <w:rFonts w:hint="eastAsia" w:ascii="宋体" w:hAnsi="宋体" w:eastAsia="宋体" w:cs="宋体"/>
          <w:color w:val="auto"/>
          <w:sz w:val="21"/>
          <w:szCs w:val="21"/>
          <w:highlight w:val="none"/>
        </w:rPr>
        <w:t>（邮件标题须注明项目名称）。采购代理机构收到资料后将采购文件电子版回复至供应商邮箱。</w:t>
      </w:r>
    </w:p>
    <w:p w14:paraId="394A3FC7">
      <w:pPr>
        <w:wordWrap w:val="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4.售价：300元/套，售后不退；供应商须在采购文件获取时间截止前（须到账），采用从供应商公司基本账户转账方式转入采购代理机构指定账户，转账时备注项目名称-文件费（备注可简写，意思表达清楚即可）</w:t>
      </w:r>
    </w:p>
    <w:p w14:paraId="4518292C">
      <w:pPr>
        <w:spacing w:line="360" w:lineRule="auto"/>
        <w:ind w:firstLine="420" w:firstLineChars="200"/>
        <w:jc w:val="left"/>
        <w:rPr>
          <w:rFonts w:ascii="宋体" w:hAnsi="宋体" w:eastAsia="宋体" w:cs="宋体"/>
          <w:bCs/>
          <w:szCs w:val="21"/>
        </w:rPr>
      </w:pPr>
      <w:r>
        <w:rPr>
          <w:rFonts w:hint="eastAsia" w:ascii="宋体" w:hAnsi="宋体" w:eastAsia="宋体" w:cs="宋体"/>
          <w:bCs/>
          <w:szCs w:val="21"/>
        </w:rPr>
        <w:t>户名：鑫诚国际工程咨询有限公司</w:t>
      </w:r>
    </w:p>
    <w:p w14:paraId="7505C82C">
      <w:pPr>
        <w:spacing w:line="360" w:lineRule="auto"/>
        <w:ind w:firstLine="420" w:firstLineChars="200"/>
        <w:jc w:val="left"/>
        <w:rPr>
          <w:rFonts w:ascii="宋体" w:hAnsi="宋体" w:eastAsia="宋体" w:cs="宋体"/>
          <w:bCs/>
          <w:szCs w:val="21"/>
        </w:rPr>
      </w:pPr>
      <w:r>
        <w:rPr>
          <w:rFonts w:hint="eastAsia" w:ascii="宋体" w:hAnsi="宋体" w:eastAsia="宋体" w:cs="宋体"/>
          <w:bCs/>
          <w:szCs w:val="21"/>
        </w:rPr>
        <w:t>开户行：招商银行郑州经三路支行</w:t>
      </w:r>
    </w:p>
    <w:p w14:paraId="39CA7953">
      <w:pPr>
        <w:spacing w:line="360" w:lineRule="auto"/>
        <w:ind w:firstLine="420" w:firstLineChars="200"/>
        <w:jc w:val="left"/>
        <w:rPr>
          <w:rFonts w:ascii="宋体" w:hAnsi="宋体" w:eastAsia="宋体" w:cs="宋体"/>
          <w:bCs/>
          <w:szCs w:val="21"/>
        </w:rPr>
      </w:pPr>
      <w:r>
        <w:rPr>
          <w:rFonts w:hint="eastAsia" w:ascii="宋体" w:hAnsi="宋体" w:eastAsia="宋体" w:cs="宋体"/>
          <w:bCs/>
          <w:szCs w:val="21"/>
        </w:rPr>
        <w:t>账号：758371902699810105</w:t>
      </w:r>
    </w:p>
    <w:p w14:paraId="39ECC2D2">
      <w:pPr>
        <w:spacing w:line="360" w:lineRule="auto"/>
        <w:ind w:firstLine="420" w:firstLineChars="200"/>
        <w:jc w:val="left"/>
        <w:rPr>
          <w:rFonts w:hint="eastAsia" w:ascii="宋体" w:hAnsi="宋体" w:eastAsia="宋体" w:cs="宋体"/>
          <w:bCs/>
          <w:szCs w:val="21"/>
        </w:rPr>
      </w:pPr>
      <w:r>
        <w:rPr>
          <w:rFonts w:hint="eastAsia" w:ascii="宋体" w:hAnsi="宋体" w:eastAsia="宋体" w:cs="宋体"/>
          <w:bCs/>
          <w:szCs w:val="21"/>
        </w:rPr>
        <w:t>（供应商转账时，请注明项目名称，可简称）</w:t>
      </w:r>
    </w:p>
    <w:p w14:paraId="254D4893">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四、响应文件提交 </w:t>
      </w:r>
    </w:p>
    <w:p w14:paraId="74D864B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1.截止时间：</w:t>
      </w:r>
      <w:r>
        <w:rPr>
          <w:rFonts w:hint="eastAsia" w:ascii="宋体" w:hAnsi="宋体" w:eastAsia="宋体" w:cs="宋体"/>
          <w:sz w:val="21"/>
          <w:szCs w:val="21"/>
          <w:highlight w:val="none"/>
          <w:lang w:val="en-US" w:eastAsia="zh-CN"/>
        </w:rPr>
        <w:t>2026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时</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 xml:space="preserve">分（北京时间） </w:t>
      </w:r>
    </w:p>
    <w:p w14:paraId="6B40AEB3">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2.地点：</w:t>
      </w:r>
      <w:r>
        <w:rPr>
          <w:rFonts w:hint="eastAsia" w:ascii="宋体" w:hAnsi="宋体" w:eastAsia="宋体" w:cs="宋体"/>
          <w:color w:val="auto"/>
          <w:sz w:val="21"/>
          <w:szCs w:val="21"/>
          <w:lang w:val="en-US" w:eastAsia="zh-CN"/>
        </w:rPr>
        <w:t>郑州市文化路与优胜南路交叉口国奥大厦22层第</w:t>
      </w:r>
      <w:r>
        <w:rPr>
          <w:rFonts w:hint="eastAsia" w:ascii="宋体" w:hAnsi="宋体" w:cs="宋体"/>
          <w:color w:val="auto"/>
          <w:sz w:val="21"/>
          <w:szCs w:val="21"/>
          <w:lang w:val="en-US" w:eastAsia="zh-CN"/>
        </w:rPr>
        <w:t>一</w:t>
      </w:r>
      <w:r>
        <w:rPr>
          <w:rFonts w:hint="eastAsia" w:ascii="宋体" w:hAnsi="宋体" w:eastAsia="宋体" w:cs="宋体"/>
          <w:color w:val="auto"/>
          <w:sz w:val="21"/>
          <w:szCs w:val="21"/>
          <w:lang w:val="en-US" w:eastAsia="zh-CN"/>
        </w:rPr>
        <w:t>会议室。</w:t>
      </w:r>
    </w:p>
    <w:p w14:paraId="0E4EF50B">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五、响应文件开启 </w:t>
      </w:r>
    </w:p>
    <w:p w14:paraId="7371DC16">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1.时间：</w:t>
      </w:r>
      <w:r>
        <w:rPr>
          <w:rFonts w:hint="eastAsia" w:ascii="宋体" w:hAnsi="宋体" w:eastAsia="宋体" w:cs="宋体"/>
          <w:sz w:val="21"/>
          <w:szCs w:val="21"/>
          <w:highlight w:val="none"/>
          <w:lang w:val="en-US" w:eastAsia="zh-CN"/>
        </w:rPr>
        <w:t>2026</w:t>
      </w:r>
      <w:r>
        <w:rPr>
          <w:rFonts w:hint="eastAsia" w:ascii="宋体" w:hAnsi="宋体" w:eastAsia="宋体" w:cs="宋体"/>
          <w:sz w:val="21"/>
          <w:szCs w:val="21"/>
          <w:highlight w:val="none"/>
        </w:rPr>
        <w:t>年</w:t>
      </w:r>
      <w:r>
        <w:rPr>
          <w:rFonts w:hint="eastAsia" w:ascii="宋体" w:hAnsi="宋体" w:eastAsia="宋体" w:cs="宋体"/>
          <w:sz w:val="21"/>
          <w:szCs w:val="21"/>
          <w:highlight w:val="none"/>
          <w:lang w:val="en-US" w:eastAsia="zh-CN"/>
        </w:rPr>
        <w:t>9</w:t>
      </w:r>
      <w:r>
        <w:rPr>
          <w:rFonts w:hint="eastAsia" w:ascii="宋体" w:hAnsi="宋体" w:eastAsia="宋体" w:cs="宋体"/>
          <w:sz w:val="21"/>
          <w:szCs w:val="21"/>
          <w:highlight w:val="none"/>
        </w:rPr>
        <w:t>月</w:t>
      </w:r>
      <w:r>
        <w:rPr>
          <w:rFonts w:hint="eastAsia" w:ascii="宋体" w:hAnsi="宋体" w:eastAsia="宋体" w:cs="宋体"/>
          <w:sz w:val="21"/>
          <w:szCs w:val="21"/>
          <w:highlight w:val="none"/>
          <w:lang w:val="en-US" w:eastAsia="zh-CN"/>
        </w:rPr>
        <w:t>10</w:t>
      </w:r>
      <w:r>
        <w:rPr>
          <w:rFonts w:hint="eastAsia" w:ascii="宋体" w:hAnsi="宋体" w:eastAsia="宋体" w:cs="宋体"/>
          <w:sz w:val="21"/>
          <w:szCs w:val="21"/>
          <w:highlight w:val="none"/>
        </w:rPr>
        <w:t>日</w:t>
      </w:r>
      <w:r>
        <w:rPr>
          <w:rFonts w:hint="eastAsia" w:ascii="宋体" w:hAnsi="宋体" w:eastAsia="宋体" w:cs="宋体"/>
          <w:sz w:val="21"/>
          <w:szCs w:val="21"/>
          <w:highlight w:val="none"/>
          <w:lang w:val="en-US" w:eastAsia="zh-CN"/>
        </w:rPr>
        <w:t>15</w:t>
      </w:r>
      <w:r>
        <w:rPr>
          <w:rFonts w:hint="eastAsia" w:ascii="宋体" w:hAnsi="宋体" w:eastAsia="宋体" w:cs="宋体"/>
          <w:sz w:val="21"/>
          <w:szCs w:val="21"/>
          <w:highlight w:val="none"/>
        </w:rPr>
        <w:t>时</w:t>
      </w:r>
      <w:r>
        <w:rPr>
          <w:rFonts w:hint="eastAsia" w:ascii="宋体" w:hAnsi="宋体" w:eastAsia="宋体" w:cs="宋体"/>
          <w:sz w:val="21"/>
          <w:szCs w:val="21"/>
          <w:highlight w:val="none"/>
          <w:lang w:val="en-US" w:eastAsia="zh-CN"/>
        </w:rPr>
        <w:t>30</w:t>
      </w:r>
      <w:r>
        <w:rPr>
          <w:rFonts w:hint="eastAsia" w:ascii="宋体" w:hAnsi="宋体" w:eastAsia="宋体" w:cs="宋体"/>
          <w:sz w:val="21"/>
          <w:szCs w:val="21"/>
          <w:highlight w:val="none"/>
        </w:rPr>
        <w:t xml:space="preserve">分（北京时间） </w:t>
      </w:r>
    </w:p>
    <w:p w14:paraId="7219DA9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2.地点：</w:t>
      </w:r>
      <w:r>
        <w:rPr>
          <w:rFonts w:hint="eastAsia" w:ascii="宋体" w:hAnsi="宋体" w:eastAsia="宋体" w:cs="宋体"/>
          <w:color w:val="auto"/>
          <w:sz w:val="21"/>
          <w:szCs w:val="21"/>
          <w:lang w:val="en-US" w:eastAsia="zh-CN"/>
        </w:rPr>
        <w:t>郑州市文化路与优胜南路交叉口国奥大厦22层第</w:t>
      </w:r>
      <w:r>
        <w:rPr>
          <w:rFonts w:hint="eastAsia" w:ascii="宋体" w:hAnsi="宋体" w:cs="宋体"/>
          <w:color w:val="auto"/>
          <w:sz w:val="21"/>
          <w:szCs w:val="21"/>
          <w:lang w:val="en-US" w:eastAsia="zh-CN"/>
        </w:rPr>
        <w:t>一</w:t>
      </w:r>
      <w:r>
        <w:rPr>
          <w:rFonts w:hint="eastAsia" w:ascii="宋体" w:hAnsi="宋体" w:eastAsia="宋体" w:cs="宋体"/>
          <w:color w:val="auto"/>
          <w:sz w:val="21"/>
          <w:szCs w:val="21"/>
          <w:lang w:val="en-US" w:eastAsia="zh-CN"/>
        </w:rPr>
        <w:t>会议室。</w:t>
      </w:r>
    </w:p>
    <w:p w14:paraId="6FF0D0CC">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六、发布公告的媒介及</w:t>
      </w:r>
      <w:r>
        <w:rPr>
          <w:rFonts w:hint="eastAsia" w:ascii="宋体" w:hAnsi="宋体" w:eastAsia="宋体" w:cs="宋体"/>
          <w:b/>
          <w:bCs/>
          <w:sz w:val="21"/>
          <w:szCs w:val="21"/>
          <w:highlight w:val="none"/>
          <w:lang w:val="en-US" w:eastAsia="zh-CN"/>
        </w:rPr>
        <w:t>采购</w:t>
      </w:r>
      <w:r>
        <w:rPr>
          <w:rFonts w:hint="eastAsia" w:ascii="宋体" w:hAnsi="宋体" w:eastAsia="宋体" w:cs="宋体"/>
          <w:b/>
          <w:bCs/>
          <w:sz w:val="21"/>
          <w:szCs w:val="21"/>
          <w:highlight w:val="none"/>
        </w:rPr>
        <w:t xml:space="preserve">公告期限 </w:t>
      </w:r>
    </w:p>
    <w:p w14:paraId="2023C248">
      <w:pPr>
        <w:keepNext w:val="0"/>
        <w:keepLines w:val="0"/>
        <w:pageBreakBefore w:val="0"/>
        <w:widowControl w:val="0"/>
        <w:kinsoku/>
        <w:wordWrap w:val="0"/>
        <w:overflowPunct/>
        <w:topLinePunct w:val="0"/>
        <w:autoSpaceDE/>
        <w:autoSpaceDN/>
        <w:bidi w:val="0"/>
        <w:adjustRightInd/>
        <w:snapToGrid/>
        <w:spacing w:line="360" w:lineRule="auto"/>
        <w:ind w:firstLine="420" w:firstLineChars="200"/>
        <w:textAlignment w:val="auto"/>
        <w:rPr>
          <w:rFonts w:hint="eastAsia" w:ascii="宋体" w:hAnsi="宋体" w:eastAsia="宋体" w:cs="宋体"/>
          <w:sz w:val="21"/>
          <w:szCs w:val="21"/>
          <w:highlight w:val="none"/>
        </w:rPr>
      </w:pPr>
      <w:r>
        <w:rPr>
          <w:rFonts w:hint="eastAsia" w:ascii="宋体" w:hAnsi="宋体" w:eastAsia="宋体" w:cs="宋体"/>
          <w:sz w:val="21"/>
          <w:szCs w:val="21"/>
          <w:highlight w:val="none"/>
        </w:rPr>
        <w:t>本次</w:t>
      </w:r>
      <w:r>
        <w:rPr>
          <w:rFonts w:hint="eastAsia" w:ascii="宋体" w:hAnsi="宋体" w:eastAsia="宋体" w:cs="宋体"/>
          <w:sz w:val="21"/>
          <w:szCs w:val="21"/>
          <w:highlight w:val="none"/>
          <w:lang w:val="en-US" w:eastAsia="zh-CN"/>
        </w:rPr>
        <w:t>采购</w:t>
      </w:r>
      <w:r>
        <w:rPr>
          <w:rFonts w:hint="eastAsia" w:ascii="宋体" w:hAnsi="宋体" w:eastAsia="宋体" w:cs="宋体"/>
          <w:sz w:val="21"/>
          <w:szCs w:val="21"/>
          <w:highlight w:val="none"/>
        </w:rPr>
        <w:t>公告在</w:t>
      </w:r>
      <w:r>
        <w:rPr>
          <w:rFonts w:hint="eastAsia" w:ascii="宋体" w:hAnsi="宋体" w:eastAsia="宋体" w:cs="宋体"/>
          <w:color w:val="auto"/>
          <w:sz w:val="21"/>
          <w:szCs w:val="21"/>
          <w:highlight w:val="none"/>
        </w:rPr>
        <w:t>《中国招标投标公共服务平台》《河南招标采购综合网》《</w:t>
      </w:r>
      <w:r>
        <w:rPr>
          <w:rFonts w:hint="eastAsia" w:ascii="宋体" w:hAnsi="宋体" w:eastAsia="宋体" w:cs="宋体"/>
          <w:color w:val="auto"/>
          <w:sz w:val="21"/>
          <w:szCs w:val="21"/>
          <w:highlight w:val="none"/>
          <w:lang w:eastAsia="zh-CN"/>
        </w:rPr>
        <w:t>河南中医药大学</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网站</w:t>
      </w:r>
      <w:r>
        <w:rPr>
          <w:rFonts w:hint="eastAsia" w:ascii="宋体" w:hAnsi="宋体" w:eastAsia="宋体" w:cs="宋体"/>
          <w:sz w:val="21"/>
          <w:szCs w:val="21"/>
          <w:highlight w:val="none"/>
        </w:rPr>
        <w:t xml:space="preserve">上发布，采购公告期限为三个工作日。  </w:t>
      </w:r>
    </w:p>
    <w:p w14:paraId="54D5E198">
      <w:pPr>
        <w:keepNext w:val="0"/>
        <w:keepLines w:val="0"/>
        <w:pageBreakBefore w:val="0"/>
        <w:widowControl/>
        <w:numPr>
          <w:ilvl w:val="0"/>
          <w:numId w:val="1"/>
        </w:numPr>
        <w:kinsoku/>
        <w:wordWrap/>
        <w:overflowPunct/>
        <w:topLinePunct w:val="0"/>
        <w:autoSpaceDE/>
        <w:autoSpaceDN/>
        <w:bidi w:val="0"/>
        <w:adjustRightInd/>
        <w:snapToGrid/>
        <w:spacing w:line="360" w:lineRule="auto"/>
        <w:ind w:right="0" w:rightChars="0" w:firstLine="211" w:firstLineChars="100"/>
        <w:jc w:val="left"/>
        <w:textAlignment w:val="auto"/>
        <w:outlineLvl w:val="9"/>
        <w:rPr>
          <w:rFonts w:hint="eastAsia" w:ascii="宋体" w:hAnsi="宋体" w:eastAsia="宋体" w:cs="宋体"/>
          <w:b/>
          <w:bCs/>
          <w:sz w:val="21"/>
          <w:szCs w:val="21"/>
          <w:highlight w:val="none"/>
          <w:lang w:eastAsia="zh-CN"/>
        </w:rPr>
      </w:pPr>
      <w:r>
        <w:rPr>
          <w:rFonts w:hint="eastAsia" w:ascii="宋体" w:hAnsi="宋体" w:eastAsia="宋体" w:cs="宋体"/>
          <w:b/>
          <w:bCs/>
          <w:sz w:val="21"/>
          <w:szCs w:val="21"/>
          <w:highlight w:val="none"/>
        </w:rPr>
        <w:t>其他补充事宜</w:t>
      </w:r>
      <w:r>
        <w:rPr>
          <w:rFonts w:hint="eastAsia" w:ascii="宋体" w:hAnsi="宋体" w:eastAsia="宋体" w:cs="宋体"/>
          <w:b/>
          <w:bCs/>
          <w:sz w:val="21"/>
          <w:szCs w:val="21"/>
          <w:highlight w:val="none"/>
          <w:lang w:eastAsia="zh-CN"/>
        </w:rPr>
        <w:t>：</w:t>
      </w:r>
    </w:p>
    <w:p w14:paraId="7907960B">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210" w:firstLineChars="10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1.政府采购促进中小企业发展管理办法 (财库〔2020〕46号）；</w:t>
      </w:r>
    </w:p>
    <w:p w14:paraId="55E1949B">
      <w:pPr>
        <w:keepNext w:val="0"/>
        <w:keepLines w:val="0"/>
        <w:pageBreakBefore w:val="0"/>
        <w:widowControl/>
        <w:numPr>
          <w:ilvl w:val="0"/>
          <w:numId w:val="0"/>
        </w:numPr>
        <w:kinsoku/>
        <w:wordWrap/>
        <w:overflowPunct/>
        <w:topLinePunct w:val="0"/>
        <w:autoSpaceDE/>
        <w:autoSpaceDN/>
        <w:bidi w:val="0"/>
        <w:adjustRightInd/>
        <w:snapToGrid/>
        <w:spacing w:line="360" w:lineRule="auto"/>
        <w:ind w:left="210" w:leftChars="100" w:right="0" w:rightChars="0" w:firstLine="0" w:firstLineChars="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2.执行《关于进一步加大政府采购支持中小企业力度的通知》（财库〔2022〕19号）；</w:t>
      </w:r>
      <w:r>
        <w:rPr>
          <w:rFonts w:hint="eastAsia" w:ascii="宋体" w:hAnsi="宋体" w:eastAsia="宋体" w:cs="宋体"/>
          <w:sz w:val="21"/>
          <w:szCs w:val="21"/>
          <w:u w:val="none"/>
          <w:lang w:val="en-US" w:eastAsia="zh-CN"/>
        </w:rPr>
        <w:br w:type="textWrapping"/>
      </w:r>
      <w:r>
        <w:rPr>
          <w:rFonts w:hint="eastAsia" w:ascii="宋体" w:hAnsi="宋体" w:eastAsia="宋体" w:cs="宋体"/>
          <w:sz w:val="21"/>
          <w:szCs w:val="21"/>
          <w:u w:val="none"/>
          <w:lang w:val="en-US" w:eastAsia="zh-CN"/>
        </w:rPr>
        <w:t>3.《财政部、司法部关于政府采购支持监狱企业发展有关问题的通知》（财库[2014]68号）；</w:t>
      </w:r>
    </w:p>
    <w:p w14:paraId="4E4B50BF">
      <w:pPr>
        <w:keepNext w:val="0"/>
        <w:keepLines w:val="0"/>
        <w:pageBreakBefore w:val="0"/>
        <w:widowControl w:val="0"/>
        <w:kinsoku/>
        <w:wordWrap w:val="0"/>
        <w:overflowPunct/>
        <w:topLinePunct w:val="0"/>
        <w:autoSpaceDE/>
        <w:autoSpaceDN/>
        <w:bidi w:val="0"/>
        <w:adjustRightInd/>
        <w:snapToGrid/>
        <w:spacing w:line="360" w:lineRule="auto"/>
        <w:textAlignment w:val="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八、凡对本次</w:t>
      </w:r>
      <w:r>
        <w:rPr>
          <w:rFonts w:hint="eastAsia" w:ascii="宋体" w:hAnsi="宋体" w:eastAsia="宋体" w:cs="宋体"/>
          <w:b/>
          <w:bCs/>
          <w:sz w:val="21"/>
          <w:szCs w:val="21"/>
          <w:highlight w:val="none"/>
          <w:lang w:val="en-US" w:eastAsia="zh-CN"/>
        </w:rPr>
        <w:t>采购</w:t>
      </w:r>
      <w:r>
        <w:rPr>
          <w:rFonts w:hint="eastAsia" w:ascii="宋体" w:hAnsi="宋体" w:eastAsia="宋体" w:cs="宋体"/>
          <w:b/>
          <w:bCs/>
          <w:sz w:val="21"/>
          <w:szCs w:val="21"/>
          <w:highlight w:val="none"/>
        </w:rPr>
        <w:t xml:space="preserve">提出询问，请按照以下方式联系 </w:t>
      </w:r>
    </w:p>
    <w:p w14:paraId="6327A7F9">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210" w:firstLineChars="10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1.采购人：河南中医药大学</w:t>
      </w:r>
    </w:p>
    <w:p w14:paraId="68C8D495">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210" w:firstLineChars="10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地  址：河南省郑州市金水东路156号</w:t>
      </w:r>
    </w:p>
    <w:p w14:paraId="08510229">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210" w:firstLineChars="10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联系人：李老师</w:t>
      </w:r>
    </w:p>
    <w:p w14:paraId="220B21F4">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210" w:firstLineChars="10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 xml:space="preserve">联系电话：0371-65680618 </w:t>
      </w:r>
    </w:p>
    <w:p w14:paraId="28D66109">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210" w:firstLineChars="10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2.采购代理机构：鑫诚国际工程咨询有限公司</w:t>
      </w:r>
    </w:p>
    <w:p w14:paraId="65D6D6AD">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210" w:firstLineChars="10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地  址：郑州市金水区优胜南路26号国奥大厦22楼2209室</w:t>
      </w:r>
    </w:p>
    <w:p w14:paraId="09A76144">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210" w:firstLineChars="10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联系人：张驰</w:t>
      </w:r>
    </w:p>
    <w:p w14:paraId="71E8E930">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210" w:firstLineChars="10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电  话：0371-63979972/63976550</w:t>
      </w:r>
    </w:p>
    <w:p w14:paraId="0CD45B34">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210" w:firstLineChars="10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3.项目联系方式</w:t>
      </w:r>
    </w:p>
    <w:p w14:paraId="47A5AE5D">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210" w:firstLineChars="10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项目联系人：张驰</w:t>
      </w:r>
    </w:p>
    <w:p w14:paraId="1BB70A67">
      <w:pPr>
        <w:keepNext w:val="0"/>
        <w:keepLines w:val="0"/>
        <w:pageBreakBefore w:val="0"/>
        <w:widowControl/>
        <w:numPr>
          <w:ilvl w:val="0"/>
          <w:numId w:val="0"/>
        </w:numPr>
        <w:kinsoku/>
        <w:wordWrap/>
        <w:overflowPunct/>
        <w:topLinePunct w:val="0"/>
        <w:autoSpaceDE/>
        <w:autoSpaceDN/>
        <w:bidi w:val="0"/>
        <w:adjustRightInd/>
        <w:snapToGrid/>
        <w:spacing w:line="360" w:lineRule="auto"/>
        <w:ind w:right="0" w:rightChars="0" w:firstLine="210" w:firstLineChars="100"/>
        <w:jc w:val="left"/>
        <w:textAlignment w:val="auto"/>
        <w:outlineLvl w:val="9"/>
        <w:rPr>
          <w:rFonts w:hint="eastAsia" w:ascii="宋体" w:hAnsi="宋体" w:eastAsia="宋体" w:cs="宋体"/>
          <w:sz w:val="21"/>
          <w:szCs w:val="21"/>
          <w:u w:val="none"/>
          <w:lang w:val="en-US" w:eastAsia="zh-CN"/>
        </w:rPr>
      </w:pPr>
      <w:r>
        <w:rPr>
          <w:rFonts w:hint="eastAsia" w:ascii="宋体" w:hAnsi="宋体" w:eastAsia="宋体" w:cs="宋体"/>
          <w:sz w:val="21"/>
          <w:szCs w:val="21"/>
          <w:u w:val="none"/>
          <w:lang w:val="en-US" w:eastAsia="zh-CN"/>
        </w:rPr>
        <w:t>联系方式：0371-63979972/63976550</w:t>
      </w:r>
    </w:p>
    <w:p w14:paraId="2D288B53">
      <w:pPr>
        <w:jc w:val="right"/>
      </w:pPr>
      <w:r>
        <w:rPr>
          <w:rFonts w:hint="eastAsia" w:ascii="宋体" w:hAnsi="宋体" w:eastAsia="宋体" w:cs="宋体"/>
          <w:sz w:val="21"/>
          <w:szCs w:val="21"/>
          <w:highlight w:val="none"/>
        </w:rPr>
        <w:t xml:space="preserve"> </w:t>
      </w:r>
      <w:r>
        <w:rPr>
          <w:rFonts w:hint="eastAsia" w:ascii="宋体" w:hAnsi="宋体" w:eastAsia="宋体" w:cs="宋体"/>
          <w:sz w:val="21"/>
          <w:szCs w:val="21"/>
          <w:highlight w:val="none"/>
          <w:lang w:val="en-US" w:eastAsia="zh-CN"/>
        </w:rPr>
        <w:t>2026年9月4日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63"/>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1422632"/>
    <w:multiLevelType w:val="singleLevel"/>
    <w:tmpl w:val="B1422632"/>
    <w:lvl w:ilvl="0" w:tentative="0">
      <w:start w:val="7"/>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3D342E8"/>
    <w:rsid w:val="0174334C"/>
    <w:rsid w:val="1CBC2E72"/>
    <w:rsid w:val="22B45EAC"/>
    <w:rsid w:val="63D342E8"/>
    <w:rsid w:val="709D67D9"/>
    <w:rsid w:val="75454B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5">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qFormat/>
    <w:uiPriority w:val="99"/>
    <w:pPr>
      <w:widowControl w:val="0"/>
      <w:jc w:val="both"/>
    </w:pPr>
    <w:rPr>
      <w:rFonts w:ascii="宋体" w:hAnsi="Courier New" w:eastAsia="宋体" w:cs="Times New Roman"/>
      <w:kern w:val="2"/>
      <w:sz w:val="21"/>
      <w:szCs w:val="20"/>
      <w:lang w:val="en-US" w:eastAsia="zh-CN" w:bidi="ar-SA"/>
    </w:rPr>
  </w:style>
  <w:style w:type="table" w:styleId="4">
    <w:name w:val="Table Grid"/>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2021</Words>
  <Characters>2356</Characters>
  <Lines>0</Lines>
  <Paragraphs>0</Paragraphs>
  <TotalTime>2</TotalTime>
  <ScaleCrop>false</ScaleCrop>
  <LinksUpToDate>false</LinksUpToDate>
  <CharactersWithSpaces>2391</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2026-09-03T03:01:00Z</dcterms:created>
  <dc:creator>王婷婷</dc:creator>
  <cp:lastModifiedBy>王婷婷</cp:lastModifiedBy>
  <dcterms:modified xsi:type="dcterms:W3CDTF">2026-09-04T02:08:06Z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3EF11E09A57D4B81AE7820F9BE61E2FF_11</vt:lpwstr>
  </property>
  <property fmtid="{D5CDD505-2E9C-101B-9397-08002B2CF9AE}" pid="4" name="KSOTemplateDocerSaveRecord">
    <vt:lpwstr>eyJoZGlkIjoiYzI4N2Q2YWJiY2M5ZWFjMzAyNTczNDM0Njk0MDY2YzMiLCJ1c2VySWQiOiI0OTgwNzA3ODUifQ==</vt:lpwstr>
  </property>
</Properties>
</file>